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99" w:rsidRDefault="00817D99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Розничные</w:t>
      </w:r>
      <w:r w:rsidR="00EE66C7" w:rsidRP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цены </w:t>
      </w:r>
      <w:r w:rsid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реализации товарного газа для потребителей </w:t>
      </w:r>
    </w:p>
    <w:p w:rsidR="00D6103D" w:rsidRDefault="00EE66C7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КазТрансГаз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Аймак»</w:t>
      </w:r>
      <w:r w:rsidR="001F2B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01.08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>.2019 г.</w:t>
      </w:r>
    </w:p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7D99" w:rsidRPr="00EE66C7" w:rsidRDefault="0011290D" w:rsidP="0011290D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</w:rPr>
        <w:t xml:space="preserve">                                                                                                                                   </w:t>
      </w:r>
      <w:r w:rsidR="00EE66C7" w:rsidRPr="00EE66C7">
        <w:rPr>
          <w:rFonts w:ascii="Times New Roman" w:hAnsi="Times New Roman" w:cs="Times New Roman"/>
          <w:i/>
          <w:color w:val="auto"/>
          <w:sz w:val="24"/>
          <w:szCs w:val="28"/>
        </w:rPr>
        <w:t>без НДС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135"/>
        <w:gridCol w:w="5451"/>
        <w:gridCol w:w="1701"/>
        <w:gridCol w:w="1778"/>
      </w:tblGrid>
      <w:tr w:rsidR="00817D99" w:rsidRPr="00817D99" w:rsidTr="001129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11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817D99" w:rsidRPr="00817D99" w:rsidTr="0011290D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  <w:r w:rsidR="00213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817D99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081,54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1F2B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15 294,74</w:t>
            </w:r>
          </w:p>
        </w:tc>
      </w:tr>
      <w:tr w:rsidR="00817D99" w:rsidRPr="00817D99" w:rsidTr="0011290D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169,19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1F2B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22 985,31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985,31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1F2B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24 815,94</w:t>
            </w:r>
          </w:p>
        </w:tc>
      </w:tr>
      <w:tr w:rsidR="00817D99" w:rsidRPr="00817D99" w:rsidTr="0011290D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461,60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674,80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549,25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F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365,37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1F2B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27 365,37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1F2B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29 196,00</w:t>
            </w:r>
          </w:p>
        </w:tc>
      </w:tr>
      <w:tr w:rsidR="00817D99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  <w:r w:rsidR="00213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1F2B88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26 450,86</w:t>
            </w:r>
          </w:p>
        </w:tc>
      </w:tr>
      <w:tr w:rsidR="001F2B88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Default="001F2B88" w:rsidP="001F2B88">
            <w:pPr>
              <w:jc w:val="center"/>
            </w:pPr>
            <w:r w:rsidRPr="002A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26 450,86</w:t>
            </w:r>
          </w:p>
        </w:tc>
      </w:tr>
      <w:tr w:rsidR="001F2B88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Default="001F2B88" w:rsidP="001F2B88">
            <w:pPr>
              <w:jc w:val="center"/>
            </w:pPr>
            <w:r w:rsidRPr="002A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26 450,86</w:t>
            </w:r>
          </w:p>
        </w:tc>
      </w:tr>
      <w:tr w:rsidR="001F2B88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Default="001F2B88" w:rsidP="001F2B88">
            <w:pPr>
              <w:jc w:val="center"/>
            </w:pPr>
            <w:r w:rsidRPr="002A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26 450,86</w:t>
            </w:r>
          </w:p>
        </w:tc>
      </w:tr>
      <w:tr w:rsidR="001F2B88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Default="001F2B88" w:rsidP="001F2B88">
            <w:pPr>
              <w:jc w:val="center"/>
            </w:pPr>
            <w:r w:rsidRPr="002A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26 450,86</w:t>
            </w:r>
          </w:p>
        </w:tc>
      </w:tr>
      <w:tr w:rsidR="001F2B88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Pr="00817D99" w:rsidRDefault="001F2B88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88" w:rsidRPr="00817D99" w:rsidRDefault="001F2B88" w:rsidP="001F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88" w:rsidRDefault="001F2B88" w:rsidP="001F2B88">
            <w:pPr>
              <w:jc w:val="center"/>
            </w:pPr>
            <w:r w:rsidRPr="002A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26 450,86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3 894,95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1 866,14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7 525,74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8 231,23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8 231,23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9 218,91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8 785,76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6 756,95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12 416,55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13 122,04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13 122,04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14 109,72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  <w:r w:rsidR="00213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5 500,13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5 500,13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15 914,26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18 781,44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7 269,29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7 269,29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3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550,60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16 367,89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11 482,62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19 024,40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25 270,48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22 811,27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17 926,00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25 467,78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31 713,86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12 778,76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10 391,40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15 394,13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10 578,68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13 006,77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6 500,93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3 495,74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14 433,91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8 893,52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5 888,33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16 826,50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15 974,98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14 182,49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19 243,33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21 672,26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21 906,06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22 538,67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20 897,49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19 105,00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E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24 165,84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26 594,77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26 829,57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27 461,18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579,82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7 529,69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7 559,91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663,33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16 613,20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16 643,42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Туркестанская область, г. Шымкент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21 958,05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18 203,93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20 058,82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24 917,14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24 917,14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25 198,82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28 994,92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27 095,69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32 235,69</w:t>
            </w:r>
          </w:p>
        </w:tc>
      </w:tr>
    </w:tbl>
    <w:p w:rsidR="00213375" w:rsidRDefault="00213375" w:rsidP="00213375">
      <w:pPr>
        <w:pStyle w:val="1"/>
        <w:tabs>
          <w:tab w:val="left" w:pos="993"/>
        </w:tabs>
        <w:spacing w:before="0" w:after="0" w:line="240" w:lineRule="auto"/>
        <w:ind w:left="-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13375" w:rsidRDefault="00213375" w:rsidP="00213375">
      <w:pPr>
        <w:pStyle w:val="1"/>
        <w:tabs>
          <w:tab w:val="left" w:pos="993"/>
        </w:tabs>
        <w:spacing w:before="0" w:after="0" w:line="240" w:lineRule="auto"/>
        <w:ind w:left="-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* Причины изменения отпускных цен:</w:t>
      </w:r>
    </w:p>
    <w:p w:rsidR="00213375" w:rsidRDefault="00213375" w:rsidP="006361B5">
      <w:pPr>
        <w:pStyle w:val="1"/>
        <w:numPr>
          <w:ilvl w:val="0"/>
          <w:numId w:val="2"/>
        </w:numPr>
        <w:tabs>
          <w:tab w:val="left" w:pos="-426"/>
        </w:tabs>
        <w:spacing w:before="0" w:after="0" w:line="240" w:lineRule="auto"/>
        <w:ind w:left="-851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г. Алматы и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области окончание срока действия компенсирующего тарифа 31.07.2019 г, изменение с 01.08.2019 г предельного уровня тарифа по приказу ДКРЕМ по г. Алматы от 01.07.2019 г № 144-ОД;</w:t>
      </w:r>
    </w:p>
    <w:p w:rsidR="00213375" w:rsidRPr="00213375" w:rsidRDefault="00213375" w:rsidP="006361B5">
      <w:pPr>
        <w:pStyle w:val="1"/>
        <w:numPr>
          <w:ilvl w:val="0"/>
          <w:numId w:val="2"/>
        </w:numPr>
        <w:tabs>
          <w:tab w:val="left" w:pos="-426"/>
        </w:tabs>
        <w:spacing w:before="0" w:after="0" w:line="240" w:lineRule="auto"/>
        <w:ind w:left="-851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Атырауской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области окончание срока действия компенсирующего тарифа 31.07.2019 г, ввод нового компенсирующего тарифа по приказу ДКРЕМ по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Атырауской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области от 25.07.2019 г № 101-ОД.</w:t>
      </w:r>
    </w:p>
    <w:p w:rsidR="00213375" w:rsidRPr="00213375" w:rsidRDefault="006361B5" w:rsidP="00213375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Введенные</w:t>
      </w:r>
      <w:r w:rsidR="00213375" w:rsidRPr="00213375">
        <w:rPr>
          <w:rFonts w:ascii="Times New Roman" w:hAnsi="Times New Roman" w:cs="Times New Roman"/>
          <w:i/>
          <w:sz w:val="24"/>
          <w:szCs w:val="24"/>
        </w:rPr>
        <w:t xml:space="preserve"> отпускные цены реализации газа не превышают </w:t>
      </w:r>
      <w:proofErr w:type="gramStart"/>
      <w:r w:rsidR="00213375" w:rsidRPr="00213375">
        <w:rPr>
          <w:rFonts w:ascii="Times New Roman" w:hAnsi="Times New Roman" w:cs="Times New Roman"/>
          <w:i/>
          <w:sz w:val="24"/>
          <w:szCs w:val="24"/>
        </w:rPr>
        <w:t>цен</w:t>
      </w:r>
      <w:proofErr w:type="gramEnd"/>
      <w:r w:rsidR="00213375" w:rsidRPr="00213375">
        <w:rPr>
          <w:rFonts w:ascii="Times New Roman" w:hAnsi="Times New Roman" w:cs="Times New Roman"/>
          <w:i/>
          <w:sz w:val="24"/>
          <w:szCs w:val="24"/>
        </w:rPr>
        <w:t xml:space="preserve"> ранее согласованных уполномоченным органом с 01.07.2018 г.</w:t>
      </w:r>
    </w:p>
    <w:p w:rsidR="00213375" w:rsidRDefault="00213375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Pr="004A7B21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42FB" w:rsidRPr="006142FB" w:rsidRDefault="006142FB" w:rsidP="004A7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42FB" w:rsidRPr="006142FB" w:rsidSect="00213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CE" w:rsidRDefault="007C20CE" w:rsidP="00635456">
      <w:pPr>
        <w:spacing w:after="0" w:line="240" w:lineRule="auto"/>
      </w:pPr>
      <w:r>
        <w:separator/>
      </w:r>
    </w:p>
  </w:endnote>
  <w:endnote w:type="continuationSeparator" w:id="0">
    <w:p w:rsidR="007C20CE" w:rsidRDefault="007C20CE" w:rsidP="0063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75" w:rsidRDefault="002133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88136"/>
      <w:docPartObj>
        <w:docPartGallery w:val="Page Numbers (Bottom of Page)"/>
        <w:docPartUnique/>
      </w:docPartObj>
    </w:sdtPr>
    <w:sdtContent>
      <w:p w:rsidR="00213375" w:rsidRDefault="002133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B5">
          <w:rPr>
            <w:noProof/>
          </w:rPr>
          <w:t>2</w:t>
        </w:r>
        <w:r>
          <w:fldChar w:fldCharType="end"/>
        </w:r>
      </w:p>
    </w:sdtContent>
  </w:sdt>
  <w:p w:rsidR="00213375" w:rsidRDefault="002133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75" w:rsidRDefault="002133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CE" w:rsidRDefault="007C20CE" w:rsidP="00635456">
      <w:pPr>
        <w:spacing w:after="0" w:line="240" w:lineRule="auto"/>
      </w:pPr>
      <w:r>
        <w:separator/>
      </w:r>
    </w:p>
  </w:footnote>
  <w:footnote w:type="continuationSeparator" w:id="0">
    <w:p w:rsidR="007C20CE" w:rsidRDefault="007C20CE" w:rsidP="0063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75" w:rsidRDefault="002133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75" w:rsidRDefault="002133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75" w:rsidRDefault="002133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84C"/>
    <w:multiLevelType w:val="hybridMultilevel"/>
    <w:tmpl w:val="E9EA519C"/>
    <w:lvl w:ilvl="0" w:tplc="5AB2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9225F"/>
    <w:multiLevelType w:val="hybridMultilevel"/>
    <w:tmpl w:val="33F0F974"/>
    <w:lvl w:ilvl="0" w:tplc="012084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9"/>
    <w:rsid w:val="00014AE1"/>
    <w:rsid w:val="00047F97"/>
    <w:rsid w:val="0011290D"/>
    <w:rsid w:val="001F1D9E"/>
    <w:rsid w:val="001F2B88"/>
    <w:rsid w:val="00213375"/>
    <w:rsid w:val="00215EAD"/>
    <w:rsid w:val="00277372"/>
    <w:rsid w:val="00294485"/>
    <w:rsid w:val="00387757"/>
    <w:rsid w:val="003F55A7"/>
    <w:rsid w:val="004A17A5"/>
    <w:rsid w:val="004A7B21"/>
    <w:rsid w:val="006142FB"/>
    <w:rsid w:val="00635456"/>
    <w:rsid w:val="006361B5"/>
    <w:rsid w:val="006919CC"/>
    <w:rsid w:val="006C6F41"/>
    <w:rsid w:val="007C20CE"/>
    <w:rsid w:val="00815D95"/>
    <w:rsid w:val="00817D99"/>
    <w:rsid w:val="008342F8"/>
    <w:rsid w:val="00920254"/>
    <w:rsid w:val="009510C2"/>
    <w:rsid w:val="009D66B9"/>
    <w:rsid w:val="00B36C4A"/>
    <w:rsid w:val="00B71C18"/>
    <w:rsid w:val="00BC4CAF"/>
    <w:rsid w:val="00CD5512"/>
    <w:rsid w:val="00D23D7F"/>
    <w:rsid w:val="00D24E90"/>
    <w:rsid w:val="00D6103D"/>
    <w:rsid w:val="00E03CBD"/>
    <w:rsid w:val="00E24E98"/>
    <w:rsid w:val="00E64314"/>
    <w:rsid w:val="00E808F5"/>
    <w:rsid w:val="00EE66C7"/>
    <w:rsid w:val="00F16109"/>
    <w:rsid w:val="00F207BE"/>
    <w:rsid w:val="00F32B09"/>
    <w:rsid w:val="00F4233D"/>
    <w:rsid w:val="00F6361C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3E5F"/>
  <w15:chartTrackingRefBased/>
  <w15:docId w15:val="{9406B852-60C2-4A29-8082-272309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4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4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36C4A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B36C4A"/>
    <w:rPr>
      <w:vanish/>
      <w:webHidden w:val="0"/>
      <w:sz w:val="17"/>
      <w:szCs w:val="17"/>
      <w:shd w:val="clear" w:color="auto" w:fill="DDDDDD"/>
      <w:specVanish w:val="0"/>
    </w:rPr>
  </w:style>
  <w:style w:type="character" w:styleId="a4">
    <w:name w:val="Hyperlink"/>
    <w:basedOn w:val="a0"/>
    <w:uiPriority w:val="99"/>
    <w:semiHidden/>
    <w:unhideWhenUsed/>
    <w:rsid w:val="00817D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D99"/>
    <w:rPr>
      <w:color w:val="800080"/>
      <w:u w:val="single"/>
    </w:rPr>
  </w:style>
  <w:style w:type="paragraph" w:customStyle="1" w:styleId="msonormal0">
    <w:name w:val="msonormal"/>
    <w:basedOn w:val="a"/>
    <w:rsid w:val="008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7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56"/>
  </w:style>
  <w:style w:type="paragraph" w:styleId="a8">
    <w:name w:val="footer"/>
    <w:basedOn w:val="a"/>
    <w:link w:val="a9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Айнур</dc:creator>
  <cp:keywords/>
  <dc:description/>
  <cp:lastModifiedBy>Отарова Айнур Кенесовна</cp:lastModifiedBy>
  <cp:revision>19</cp:revision>
  <dcterms:created xsi:type="dcterms:W3CDTF">2018-12-13T08:31:00Z</dcterms:created>
  <dcterms:modified xsi:type="dcterms:W3CDTF">2019-08-01T04:46:00Z</dcterms:modified>
</cp:coreProperties>
</file>